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842" w:rsidRPr="00123565" w:rsidRDefault="00C32842" w:rsidP="00123565">
      <w:pPr>
        <w:spacing w:after="0" w:line="240" w:lineRule="auto"/>
        <w:ind w:firstLine="709"/>
        <w:jc w:val="center"/>
        <w:rPr>
          <w:rFonts w:ascii="Times New Roman" w:hAnsi="Times New Roman" w:cs="Times New Roman"/>
          <w:b/>
          <w:bCs/>
          <w:sz w:val="24"/>
          <w:szCs w:val="24"/>
        </w:rPr>
      </w:pPr>
      <w:r w:rsidRPr="00123565">
        <w:rPr>
          <w:rFonts w:ascii="Times New Roman" w:hAnsi="Times New Roman" w:cs="Times New Roman"/>
          <w:b/>
          <w:bCs/>
          <w:sz w:val="24"/>
          <w:szCs w:val="24"/>
        </w:rPr>
        <w:t xml:space="preserve">НОВЫЕ ЗАДАЧИ В РАЗРАБОТКЕ ИНСТРУМЕНТОВ И ПРОЦЕДУР </w:t>
      </w:r>
    </w:p>
    <w:p w:rsidR="00C32842" w:rsidRPr="00123565" w:rsidRDefault="00C32842" w:rsidP="00123565">
      <w:pPr>
        <w:spacing w:after="0" w:line="240" w:lineRule="auto"/>
        <w:ind w:firstLine="709"/>
        <w:jc w:val="center"/>
        <w:rPr>
          <w:rFonts w:ascii="Times New Roman" w:hAnsi="Times New Roman" w:cs="Times New Roman"/>
          <w:b/>
          <w:bCs/>
          <w:sz w:val="24"/>
          <w:szCs w:val="24"/>
        </w:rPr>
      </w:pPr>
      <w:r w:rsidRPr="00123565">
        <w:rPr>
          <w:rFonts w:ascii="Times New Roman" w:hAnsi="Times New Roman" w:cs="Times New Roman"/>
          <w:b/>
          <w:bCs/>
          <w:sz w:val="24"/>
          <w:szCs w:val="24"/>
        </w:rPr>
        <w:t xml:space="preserve">ПО ОЦЕНКЕ ОПАСНОСТИ ОБЪЕКТОВ В СВЯЗИ С ОБЯЗАТЕЛЬНЫМ СТРАХОВАНИЕМ ГРАЖДАНСКОЙ ОТВЕТСТВЕННОСТИ </w:t>
      </w:r>
    </w:p>
    <w:p w:rsidR="00C32842" w:rsidRPr="00123565" w:rsidRDefault="00C32842" w:rsidP="00123565">
      <w:pPr>
        <w:spacing w:after="0" w:line="240" w:lineRule="auto"/>
        <w:ind w:firstLine="709"/>
        <w:jc w:val="center"/>
        <w:rPr>
          <w:rFonts w:ascii="Times New Roman" w:hAnsi="Times New Roman" w:cs="Times New Roman"/>
          <w:b/>
          <w:bCs/>
          <w:sz w:val="24"/>
          <w:szCs w:val="24"/>
        </w:rPr>
      </w:pPr>
      <w:r w:rsidRPr="00123565">
        <w:rPr>
          <w:rFonts w:ascii="Times New Roman" w:hAnsi="Times New Roman" w:cs="Times New Roman"/>
          <w:b/>
          <w:bCs/>
          <w:sz w:val="24"/>
          <w:szCs w:val="24"/>
        </w:rPr>
        <w:t>В РЕЗУЛЬТАТЕ АВАРИИ»</w:t>
      </w:r>
    </w:p>
    <w:p w:rsidR="00C32842" w:rsidRPr="00123565" w:rsidRDefault="00C32842" w:rsidP="00123565">
      <w:pPr>
        <w:pStyle w:val="NoSpacing"/>
        <w:spacing w:before="120"/>
        <w:ind w:firstLine="709"/>
        <w:jc w:val="center"/>
        <w:rPr>
          <w:rFonts w:ascii="Times New Roman" w:hAnsi="Times New Roman" w:cs="Times New Roman"/>
          <w:i/>
          <w:iCs/>
          <w:sz w:val="24"/>
          <w:szCs w:val="24"/>
        </w:rPr>
      </w:pPr>
      <w:r w:rsidRPr="00123565">
        <w:rPr>
          <w:rFonts w:ascii="Times New Roman" w:hAnsi="Times New Roman" w:cs="Times New Roman"/>
          <w:i/>
          <w:iCs/>
          <w:sz w:val="24"/>
          <w:szCs w:val="24"/>
        </w:rPr>
        <w:t>А.И. Попов</w:t>
      </w:r>
      <w:r>
        <w:rPr>
          <w:rFonts w:ascii="Times New Roman" w:hAnsi="Times New Roman" w:cs="Times New Roman"/>
          <w:i/>
          <w:iCs/>
          <w:sz w:val="24"/>
          <w:szCs w:val="24"/>
        </w:rPr>
        <w:t xml:space="preserve"> д.т.н.,</w:t>
      </w:r>
      <w:r w:rsidRPr="00123565">
        <w:rPr>
          <w:rFonts w:ascii="Times New Roman" w:hAnsi="Times New Roman" w:cs="Times New Roman"/>
          <w:i/>
          <w:iCs/>
          <w:sz w:val="24"/>
          <w:szCs w:val="24"/>
        </w:rPr>
        <w:t>, Р.А. Попов, А.В. Шерстнев, И.С. Чугунов</w:t>
      </w:r>
      <w:r>
        <w:rPr>
          <w:rFonts w:ascii="Times New Roman" w:hAnsi="Times New Roman" w:cs="Times New Roman"/>
          <w:i/>
          <w:iCs/>
          <w:sz w:val="24"/>
          <w:szCs w:val="24"/>
        </w:rPr>
        <w:t>,</w:t>
      </w:r>
    </w:p>
    <w:p w:rsidR="00C32842" w:rsidRPr="00123565" w:rsidRDefault="00C32842" w:rsidP="00123565">
      <w:pPr>
        <w:pStyle w:val="NoSpacing"/>
        <w:ind w:firstLine="709"/>
        <w:jc w:val="center"/>
        <w:rPr>
          <w:rFonts w:ascii="Times New Roman" w:hAnsi="Times New Roman" w:cs="Times New Roman"/>
          <w:i/>
          <w:iCs/>
          <w:sz w:val="24"/>
          <w:szCs w:val="24"/>
        </w:rPr>
      </w:pPr>
      <w:r w:rsidRPr="00123565">
        <w:rPr>
          <w:rFonts w:ascii="Times New Roman" w:hAnsi="Times New Roman" w:cs="Times New Roman"/>
          <w:i/>
          <w:iCs/>
          <w:sz w:val="24"/>
          <w:szCs w:val="24"/>
        </w:rPr>
        <w:t>ГК «Технориск»</w:t>
      </w:r>
      <w:r>
        <w:rPr>
          <w:rFonts w:ascii="Times New Roman" w:hAnsi="Times New Roman" w:cs="Times New Roman"/>
          <w:i/>
          <w:iCs/>
          <w:sz w:val="24"/>
          <w:szCs w:val="24"/>
        </w:rPr>
        <w:t>,</w:t>
      </w:r>
      <w:r w:rsidRPr="00123565">
        <w:rPr>
          <w:rFonts w:ascii="Times New Roman" w:hAnsi="Times New Roman" w:cs="Times New Roman"/>
          <w:i/>
          <w:iCs/>
          <w:sz w:val="24"/>
          <w:szCs w:val="24"/>
        </w:rPr>
        <w:t xml:space="preserve"> </w:t>
      </w:r>
    </w:p>
    <w:p w:rsidR="00C32842" w:rsidRPr="00123565" w:rsidRDefault="00C32842" w:rsidP="00123565">
      <w:pPr>
        <w:pStyle w:val="NoSpacing"/>
        <w:ind w:firstLine="709"/>
        <w:jc w:val="center"/>
        <w:rPr>
          <w:rFonts w:ascii="Times New Roman" w:hAnsi="Times New Roman" w:cs="Times New Roman"/>
          <w:i/>
          <w:iCs/>
          <w:sz w:val="24"/>
          <w:szCs w:val="24"/>
        </w:rPr>
      </w:pPr>
      <w:r w:rsidRPr="00123565">
        <w:rPr>
          <w:rFonts w:ascii="Times New Roman" w:hAnsi="Times New Roman" w:cs="Times New Roman"/>
          <w:i/>
          <w:iCs/>
          <w:sz w:val="24"/>
          <w:szCs w:val="24"/>
        </w:rPr>
        <w:t>г.</w:t>
      </w:r>
      <w:r>
        <w:rPr>
          <w:rFonts w:ascii="Times New Roman" w:hAnsi="Times New Roman" w:cs="Times New Roman"/>
          <w:i/>
          <w:iCs/>
          <w:sz w:val="24"/>
          <w:szCs w:val="24"/>
        </w:rPr>
        <w:t xml:space="preserve"> </w:t>
      </w:r>
      <w:r w:rsidRPr="00123565">
        <w:rPr>
          <w:rFonts w:ascii="Times New Roman" w:hAnsi="Times New Roman" w:cs="Times New Roman"/>
          <w:i/>
          <w:iCs/>
          <w:sz w:val="24"/>
          <w:szCs w:val="24"/>
        </w:rPr>
        <w:t>Саратов</w:t>
      </w:r>
    </w:p>
    <w:p w:rsidR="00C32842" w:rsidRPr="00F56015" w:rsidRDefault="00C32842" w:rsidP="00123565">
      <w:pPr>
        <w:pStyle w:val="NoSpacing"/>
        <w:ind w:firstLine="709"/>
        <w:jc w:val="both"/>
        <w:rPr>
          <w:rFonts w:ascii="Times New Roman" w:hAnsi="Times New Roman" w:cs="Times New Roman"/>
          <w:sz w:val="24"/>
          <w:szCs w:val="24"/>
        </w:rPr>
      </w:pP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Рассматриваются новые аспекты в оценке опасности объектов в связи с принятием Федерального закона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Отмечается, что одним из основных факторов, определяющих параметры обязательного страхования, является максимально возможное количество потерпевших, жизни или здоровью которых может быть причинен вред в результате аварии на опасном объекте. От количественного значения этого фактора и наличия декларации зависит страховая сумма по договору обязательного страхования, дифференцируемая для декларируемых и недекларируемых объектов. Причем страховая сумма по договору обязательного страхования может изменяться для различных объектов от 10 млн. рублей до 6,5 млрд. руб.</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Термин «потерпевшие» в законе формулируется как «физические лица, включая работников страхователя, жизни, здоровью и (или) имуществу которых, причинен вред». Сюда же отнесены юридические лица, имуществу которых причинен вред в результате аварии на опасном объекте. Принятая в законе формулировка не отражает специфики определения вреда для возможной аварии. Не указывается нижняя граница вреда по уровню токсического поражения, интенсивности теплового излучения, уровню избыточного давления во фронте ударной волны, других факторов, для людей, зданий, сооружений, коммуникаций. При решении этой задачи должны быть обобщены, систематизированы и оформлены в виде правовых и нормативных документов нижние уровни нанесения вреда при расчетном определении потерпевших.</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Следует отметить, что формулировка фактора «максимально возможное количество потерпевших, жизни или здоровью которых может быть причинен вред в результате аварии на опасном объекте», в федеральном законе №225-ФЗ от 27.07.2010 г. не приводится.</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Возникает вопрос или новая задача, для какой аварии считать максимально возможное количество потерпевших: для проектной, запроектной, гипотетической?  В какой степени нужно учитывать эффект «домино», терроризм, климатические аномалии и возможные другие угрозы.</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Допустим, со сценарием определились. Кто-то из государственных органов должен его согласовать. Видимо, эта процедура должна сопровождать процесс обязательного страхования. Далее возникает вопрос, по какой методике необходимо рассчитывать зоны воздействия опасных факторов аварии? Здесь следует обратить особое внимание на научное обоснование моделей расчета и их реальное подтверждение.</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 xml:space="preserve">Заслуживают одобрения методические указания по оценке последствий аварийных выбросов опасных веществ РД-03-26-2007, наиболее адаптированные для анализа опасности производственных объектов. </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Вместе с тем, в свете выхода закона №225-ФЗ они нуждаются в усовершенствовании. В частности, должен быть углублен термодинамический анализ процесса распространения облака тяжелого газа на основе фундаментальных законов и зависимостей технической термодинамики.</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В докладе предлагаются аналитические зависимости и дифференциальные соотношения аварийного процесса расширения, позволяющие значительно повысить точность определения конечных термодинамических параметров, в частности влажного пара опасного вещества.</w:t>
      </w:r>
    </w:p>
    <w:p w:rsidR="00C32842" w:rsidRPr="00123565"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Значительное место в докладе уделено изменениям, которые вызваны принятием закона №225-ФЗ, в частности вопросам, связанным с идентификацией опасных производственных объектов. В одних случаях в качестве декларируемых объектов регистрируются цеха, промышленные площади, что разрешается руководящими документами, в других – отдельные установки или даже отдельные участки. При таком подходе максимально возможное количество потерпевших для страхователя может изменяться в несколько раз в ту или иную сторону.</w:t>
      </w:r>
    </w:p>
    <w:p w:rsidR="00C32842" w:rsidRDefault="00C32842" w:rsidP="00123565">
      <w:pPr>
        <w:pStyle w:val="NoSpacing"/>
        <w:ind w:firstLine="709"/>
        <w:jc w:val="both"/>
        <w:rPr>
          <w:rFonts w:ascii="Times New Roman" w:hAnsi="Times New Roman" w:cs="Times New Roman"/>
          <w:sz w:val="24"/>
          <w:szCs w:val="24"/>
        </w:rPr>
      </w:pPr>
      <w:r w:rsidRPr="00123565">
        <w:rPr>
          <w:rFonts w:ascii="Times New Roman" w:hAnsi="Times New Roman" w:cs="Times New Roman"/>
          <w:sz w:val="24"/>
          <w:szCs w:val="24"/>
        </w:rPr>
        <w:t>Обсуждаются вопросы взаимосвязи технических характеристик опасных производственных объектов и параметров страхования с точки зрения экономической эффективности и экономической целесообразности.</w:t>
      </w:r>
    </w:p>
    <w:p w:rsidR="00C32842" w:rsidRDefault="00C32842" w:rsidP="00123565">
      <w:pPr>
        <w:pStyle w:val="NoSpacing"/>
        <w:ind w:firstLine="709"/>
        <w:jc w:val="both"/>
        <w:rPr>
          <w:rFonts w:ascii="Times New Roman" w:hAnsi="Times New Roman" w:cs="Times New Roman"/>
          <w:sz w:val="24"/>
          <w:szCs w:val="24"/>
        </w:rPr>
      </w:pPr>
    </w:p>
    <w:p w:rsidR="00C32842" w:rsidRPr="00F56015" w:rsidRDefault="00C32842" w:rsidP="00F56015">
      <w:pPr>
        <w:pStyle w:val="NoSpacing"/>
        <w:rPr>
          <w:rFonts w:ascii="Times New Roman" w:hAnsi="Times New Roman" w:cs="Times New Roman"/>
          <w:b/>
          <w:bCs/>
          <w:i/>
          <w:iCs/>
          <w:sz w:val="20"/>
          <w:szCs w:val="20"/>
          <w:lang w:val="en-US"/>
        </w:rPr>
      </w:pPr>
      <w:r w:rsidRPr="00F56015">
        <w:rPr>
          <w:rFonts w:ascii="Times New Roman" w:hAnsi="Times New Roman" w:cs="Times New Roman"/>
          <w:b/>
          <w:bCs/>
          <w:i/>
          <w:iCs/>
          <w:sz w:val="20"/>
          <w:szCs w:val="20"/>
          <w:lang w:val="en-US"/>
        </w:rPr>
        <w:t xml:space="preserve">E-mail: </w:t>
      </w:r>
      <w:hyperlink r:id="rId4" w:history="1">
        <w:r w:rsidRPr="00F56015">
          <w:rPr>
            <w:rFonts w:ascii="Times New Roman" w:hAnsi="Times New Roman" w:cs="Times New Roman"/>
            <w:b/>
            <w:bCs/>
            <w:i/>
            <w:iCs/>
            <w:sz w:val="20"/>
            <w:szCs w:val="20"/>
            <w:lang w:val="en-US"/>
          </w:rPr>
          <w:t>info@technorisk.ru</w:t>
        </w:r>
      </w:hyperlink>
      <w:r w:rsidRPr="00F56015">
        <w:rPr>
          <w:rFonts w:ascii="Times New Roman" w:hAnsi="Times New Roman" w:cs="Times New Roman"/>
          <w:b/>
          <w:bCs/>
          <w:i/>
          <w:iCs/>
          <w:sz w:val="20"/>
          <w:szCs w:val="20"/>
          <w:lang w:val="en-US"/>
        </w:rPr>
        <w:t xml:space="preserve">, </w:t>
      </w:r>
      <w:hyperlink r:id="rId5" w:history="1">
        <w:r w:rsidRPr="00F56015">
          <w:rPr>
            <w:rFonts w:ascii="Times New Roman" w:hAnsi="Times New Roman" w:cs="Times New Roman"/>
            <w:b/>
            <w:bCs/>
            <w:i/>
            <w:iCs/>
            <w:sz w:val="20"/>
            <w:szCs w:val="20"/>
            <w:lang w:val="en-US"/>
          </w:rPr>
          <w:t>www.technorisk.ru</w:t>
        </w:r>
      </w:hyperlink>
    </w:p>
    <w:p w:rsidR="00C32842" w:rsidRPr="00F56015" w:rsidRDefault="00C32842" w:rsidP="00F56015">
      <w:pPr>
        <w:pStyle w:val="NoSpacing"/>
        <w:jc w:val="both"/>
        <w:rPr>
          <w:rFonts w:ascii="Times New Roman" w:hAnsi="Times New Roman" w:cs="Times New Roman"/>
          <w:sz w:val="20"/>
          <w:szCs w:val="20"/>
        </w:rPr>
      </w:pPr>
      <w:r w:rsidRPr="00F56015">
        <w:rPr>
          <w:rFonts w:ascii="Times New Roman" w:hAnsi="Times New Roman" w:cs="Times New Roman"/>
          <w:b/>
          <w:bCs/>
          <w:i/>
          <w:iCs/>
          <w:sz w:val="20"/>
          <w:szCs w:val="20"/>
        </w:rPr>
        <w:t>тел. (84</w:t>
      </w:r>
      <w:r w:rsidRPr="00F56015">
        <w:rPr>
          <w:rFonts w:ascii="Times New Roman" w:hAnsi="Times New Roman" w:cs="Times New Roman"/>
          <w:b/>
          <w:bCs/>
          <w:i/>
          <w:iCs/>
          <w:sz w:val="20"/>
          <w:szCs w:val="20"/>
          <w:lang w:val="en-US"/>
        </w:rPr>
        <w:t>12</w:t>
      </w:r>
      <w:r w:rsidRPr="00F56015">
        <w:rPr>
          <w:rFonts w:ascii="Times New Roman" w:hAnsi="Times New Roman" w:cs="Times New Roman"/>
          <w:b/>
          <w:bCs/>
          <w:i/>
          <w:iCs/>
          <w:sz w:val="20"/>
          <w:szCs w:val="20"/>
        </w:rPr>
        <w:t xml:space="preserve">) </w:t>
      </w:r>
      <w:r w:rsidRPr="00F56015">
        <w:rPr>
          <w:rFonts w:ascii="Times New Roman" w:hAnsi="Times New Roman" w:cs="Times New Roman"/>
          <w:b/>
          <w:bCs/>
          <w:i/>
          <w:iCs/>
          <w:sz w:val="20"/>
          <w:szCs w:val="20"/>
          <w:lang w:val="en-US"/>
        </w:rPr>
        <w:t>208-828</w:t>
      </w:r>
      <w:r w:rsidRPr="00F56015">
        <w:rPr>
          <w:rFonts w:ascii="Times New Roman" w:hAnsi="Times New Roman" w:cs="Times New Roman"/>
          <w:b/>
          <w:bCs/>
          <w:i/>
          <w:iCs/>
          <w:sz w:val="20"/>
          <w:szCs w:val="20"/>
        </w:rPr>
        <w:t>,</w:t>
      </w:r>
      <w:r w:rsidRPr="00F56015">
        <w:rPr>
          <w:rFonts w:ascii="Times New Roman" w:hAnsi="Times New Roman" w:cs="Times New Roman"/>
          <w:b/>
          <w:bCs/>
          <w:i/>
          <w:iCs/>
          <w:sz w:val="20"/>
          <w:szCs w:val="20"/>
          <w:lang w:val="en-US"/>
        </w:rPr>
        <w:t xml:space="preserve"> (8452) 549-549</w:t>
      </w:r>
      <w:r>
        <w:rPr>
          <w:rFonts w:ascii="Times New Roman" w:hAnsi="Times New Roman" w:cs="Times New Roman"/>
          <w:b/>
          <w:bCs/>
          <w:i/>
          <w:iCs/>
          <w:sz w:val="20"/>
          <w:szCs w:val="20"/>
        </w:rPr>
        <w:t>.</w:t>
      </w:r>
    </w:p>
    <w:sectPr w:rsidR="00C32842" w:rsidRPr="00F56015" w:rsidSect="00123565">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4728"/>
    <w:rsid w:val="00063BB7"/>
    <w:rsid w:val="000862AF"/>
    <w:rsid w:val="00123565"/>
    <w:rsid w:val="001E23EF"/>
    <w:rsid w:val="00260BAE"/>
    <w:rsid w:val="002A1BD5"/>
    <w:rsid w:val="00357B49"/>
    <w:rsid w:val="003911EB"/>
    <w:rsid w:val="00444BEC"/>
    <w:rsid w:val="00485470"/>
    <w:rsid w:val="004C07BD"/>
    <w:rsid w:val="00524CFF"/>
    <w:rsid w:val="00604BBB"/>
    <w:rsid w:val="00633AB2"/>
    <w:rsid w:val="006D0313"/>
    <w:rsid w:val="00792FD8"/>
    <w:rsid w:val="008B3BBE"/>
    <w:rsid w:val="009B3D05"/>
    <w:rsid w:val="009C5095"/>
    <w:rsid w:val="00AE0FA1"/>
    <w:rsid w:val="00BA7B2A"/>
    <w:rsid w:val="00C05DBE"/>
    <w:rsid w:val="00C32842"/>
    <w:rsid w:val="00D0483F"/>
    <w:rsid w:val="00DB4728"/>
    <w:rsid w:val="00E563EF"/>
    <w:rsid w:val="00F21E7B"/>
    <w:rsid w:val="00F56015"/>
    <w:rsid w:val="00FE4C4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BBE"/>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B4728"/>
    <w:rPr>
      <w:color w:val="0000FF"/>
      <w:u w:val="single"/>
    </w:rPr>
  </w:style>
  <w:style w:type="paragraph" w:styleId="NoSpacing">
    <w:name w:val="No Spacing"/>
    <w:uiPriority w:val="99"/>
    <w:qFormat/>
    <w:rsid w:val="00DB4728"/>
    <w:rPr>
      <w:rFonts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echnorisk.ru" TargetMode="External"/><Relationship Id="rId4" Type="http://schemas.openxmlformats.org/officeDocument/2006/relationships/hyperlink" Target="mailto:info@technoris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2</Pages>
  <Words>641</Words>
  <Characters>3654</Characters>
  <Application>Microsoft Office Outlook</Application>
  <DocSecurity>0</DocSecurity>
  <Lines>0</Lines>
  <Paragraphs>0</Paragraphs>
  <ScaleCrop>false</ScaleCrop>
  <Company>Технориск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А. Колмагорова</dc:creator>
  <cp:keywords/>
  <dc:description/>
  <cp:lastModifiedBy>Simakin</cp:lastModifiedBy>
  <cp:revision>5</cp:revision>
  <cp:lastPrinted>2010-09-15T11:51:00Z</cp:lastPrinted>
  <dcterms:created xsi:type="dcterms:W3CDTF">2010-09-16T07:22:00Z</dcterms:created>
  <dcterms:modified xsi:type="dcterms:W3CDTF">2010-09-21T10:36:00Z</dcterms:modified>
</cp:coreProperties>
</file>